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0E61DB80" w:rsidR="00B519E0" w:rsidRDefault="00BD7F55" w:rsidP="00D36904">
      <w:pPr>
        <w:spacing w:after="0"/>
        <w:jc w:val="center"/>
      </w:pPr>
      <w:r>
        <w:t>17 Smithy Row</w:t>
      </w:r>
    </w:p>
    <w:p w14:paraId="1F327E2F" w14:textId="6583BFEA" w:rsidR="00BD7F55" w:rsidRDefault="00BD7F55" w:rsidP="00D36904">
      <w:pPr>
        <w:spacing w:after="0"/>
        <w:jc w:val="center"/>
      </w:pPr>
      <w:r>
        <w:t>Hurst Green</w:t>
      </w:r>
    </w:p>
    <w:p w14:paraId="153AA7AD" w14:textId="58BAB977" w:rsidR="00BD7F55" w:rsidRDefault="00BD7F55" w:rsidP="00D36904">
      <w:pPr>
        <w:spacing w:after="0"/>
        <w:jc w:val="center"/>
      </w:pPr>
      <w:r>
        <w:t>Clitheroe BB7 9QA</w:t>
      </w:r>
    </w:p>
    <w:p w14:paraId="12CEF0A4" w14:textId="48714619" w:rsidR="00BD7F55" w:rsidRDefault="00BD7F55" w:rsidP="00D36904">
      <w:pPr>
        <w:spacing w:after="0"/>
        <w:jc w:val="center"/>
      </w:pPr>
      <w:r>
        <w:t>07921472172</w:t>
      </w:r>
    </w:p>
    <w:p w14:paraId="2188075E" w14:textId="77777777" w:rsidR="00BD7F55" w:rsidRDefault="00BD7F55" w:rsidP="00D369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985032" w:rsidRPr="00E14CE8" w14:paraId="7B0E1150" w14:textId="77777777" w:rsidTr="005D1ECE">
        <w:tc>
          <w:tcPr>
            <w:tcW w:w="8568" w:type="dxa"/>
            <w:gridSpan w:val="4"/>
          </w:tcPr>
          <w:p w14:paraId="238687A2" w14:textId="7BC49297" w:rsidR="00985032" w:rsidRPr="00E14CE8" w:rsidRDefault="00985032" w:rsidP="005D1ECE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or </w:t>
            </w:r>
            <w:r w:rsidRPr="00E14CE8">
              <w:rPr>
                <w:b/>
                <w:sz w:val="20"/>
                <w:szCs w:val="20"/>
              </w:rPr>
              <w:t>Activity Description</w:t>
            </w:r>
            <w:r>
              <w:rPr>
                <w:b/>
                <w:sz w:val="20"/>
                <w:szCs w:val="20"/>
              </w:rPr>
              <w:t xml:space="preserve"> – maintenance and relocation of SPID (Speed Indicator Device).</w:t>
            </w:r>
          </w:p>
        </w:tc>
      </w:tr>
      <w:tr w:rsidR="00985032" w:rsidRPr="00E14CE8" w14:paraId="4EDB0535" w14:textId="77777777" w:rsidTr="005D1ECE">
        <w:tc>
          <w:tcPr>
            <w:tcW w:w="4248" w:type="dxa"/>
            <w:tcBorders>
              <w:bottom w:val="single" w:sz="4" w:space="0" w:color="auto"/>
            </w:tcBorders>
          </w:tcPr>
          <w:p w14:paraId="1590D66D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707EE318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985032" w:rsidRPr="00E14CE8" w14:paraId="0B23A2DF" w14:textId="77777777" w:rsidTr="005D1ECE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436394E6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5422CE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5CC81E36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043BF49B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985032" w:rsidRPr="00E14CE8" w14:paraId="03A53DAA" w14:textId="77777777" w:rsidTr="006C40AB">
        <w:trPr>
          <w:cantSplit/>
          <w:trHeight w:val="3190"/>
        </w:trPr>
        <w:tc>
          <w:tcPr>
            <w:tcW w:w="4248" w:type="dxa"/>
            <w:tcBorders>
              <w:top w:val="nil"/>
            </w:tcBorders>
          </w:tcPr>
          <w:p w14:paraId="712C0034" w14:textId="7DADA893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Tripping over while moving unit</w:t>
            </w:r>
          </w:p>
          <w:p w14:paraId="0A29032C" w14:textId="77777777" w:rsidR="006C40AB" w:rsidRDefault="006C40AB" w:rsidP="006C40A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010B7C3" w14:textId="626B5486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injury from use of ladder etc</w:t>
            </w:r>
          </w:p>
          <w:p w14:paraId="4A967298" w14:textId="77777777" w:rsidR="006C40AB" w:rsidRDefault="006C40AB" w:rsidP="006C40AB">
            <w:pPr>
              <w:spacing w:after="0" w:line="240" w:lineRule="auto"/>
              <w:rPr>
                <w:sz w:val="20"/>
                <w:szCs w:val="20"/>
              </w:rPr>
            </w:pPr>
          </w:p>
          <w:p w14:paraId="5C668AD5" w14:textId="69130257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off ladder while moving unit to another location or replacing battery</w:t>
            </w:r>
          </w:p>
          <w:p w14:paraId="194DA996" w14:textId="77777777" w:rsidR="006C40AB" w:rsidRDefault="006C40AB" w:rsidP="006C40AB">
            <w:pPr>
              <w:spacing w:after="0" w:line="240" w:lineRule="auto"/>
              <w:rPr>
                <w:sz w:val="20"/>
                <w:szCs w:val="20"/>
              </w:rPr>
            </w:pPr>
          </w:p>
          <w:p w14:paraId="64E8E2CC" w14:textId="4C1300B2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into road while working on unit</w:t>
            </w:r>
          </w:p>
          <w:p w14:paraId="100E8622" w14:textId="77777777" w:rsidR="006C40AB" w:rsidRDefault="006C40AB" w:rsidP="006C40AB">
            <w:pPr>
              <w:spacing w:after="0" w:line="240" w:lineRule="auto"/>
              <w:rPr>
                <w:sz w:val="20"/>
                <w:szCs w:val="20"/>
              </w:rPr>
            </w:pPr>
          </w:p>
          <w:p w14:paraId="555188A5" w14:textId="77777777" w:rsidR="00985032" w:rsidRPr="00E14CE8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into hedges etc while working on unit</w:t>
            </w:r>
          </w:p>
        </w:tc>
        <w:tc>
          <w:tcPr>
            <w:tcW w:w="1440" w:type="dxa"/>
          </w:tcPr>
          <w:p w14:paraId="33F4084B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33EF03BB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736EF8A5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0345B85F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24BED3AE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47CB7269" w14:textId="71021230" w:rsidR="00985032" w:rsidRPr="00E14CE8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519F2378" w14:textId="7780B066" w:rsidR="00985032" w:rsidRDefault="00985032" w:rsidP="006C40AB">
            <w:pPr>
              <w:spacing w:line="360" w:lineRule="auto"/>
              <w:rPr>
                <w:b/>
                <w:sz w:val="16"/>
                <w:szCs w:val="20"/>
              </w:rPr>
            </w:pPr>
          </w:p>
          <w:p w14:paraId="6120993E" w14:textId="31C10455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54D00F70" w14:textId="7C0F7873" w:rsidR="006C40AB" w:rsidRDefault="006C40AB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4C0CEDF8" w14:textId="77777777" w:rsidR="006C40AB" w:rsidRDefault="006C40AB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4A8CC8FC" w14:textId="77777777" w:rsidR="006C40AB" w:rsidRDefault="006C40AB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AA3D9E2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AEA7E55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50FD4471" w14:textId="16075127" w:rsidR="00985032" w:rsidRPr="00E14CE8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F377A6B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2E602CC5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AA24980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2AF31FAD" w14:textId="77777777" w:rsidR="006C40AB" w:rsidRDefault="006C40AB" w:rsidP="006C40AB">
            <w:pPr>
              <w:spacing w:line="360" w:lineRule="auto"/>
              <w:rPr>
                <w:b/>
                <w:sz w:val="16"/>
                <w:szCs w:val="20"/>
              </w:rPr>
            </w:pPr>
          </w:p>
          <w:p w14:paraId="5760131B" w14:textId="2843E7E6" w:rsidR="00985032" w:rsidRDefault="006C40AB" w:rsidP="006C40AB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7EEA755C" w14:textId="50243A12" w:rsidR="006C40AB" w:rsidRPr="00E14CE8" w:rsidRDefault="006C40AB" w:rsidP="006C40AB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</w:tc>
      </w:tr>
      <w:tr w:rsidR="00985032" w:rsidRPr="00E14CE8" w14:paraId="2E8F5194" w14:textId="77777777" w:rsidTr="005D1ECE">
        <w:tc>
          <w:tcPr>
            <w:tcW w:w="4248" w:type="dxa"/>
          </w:tcPr>
          <w:p w14:paraId="753B6451" w14:textId="77777777" w:rsidR="00985032" w:rsidRPr="00E14CE8" w:rsidRDefault="00985032" w:rsidP="005D1ECE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02847529" w14:textId="77777777" w:rsidR="00985032" w:rsidRPr="00E14CE8" w:rsidRDefault="00985032" w:rsidP="005D1ECE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985032" w:rsidRPr="00E14CE8" w14:paraId="264155CE" w14:textId="77777777" w:rsidTr="005D1ECE">
        <w:tc>
          <w:tcPr>
            <w:tcW w:w="4248" w:type="dxa"/>
          </w:tcPr>
          <w:p w14:paraId="4B3970A3" w14:textId="77777777" w:rsidR="00985032" w:rsidRPr="005B192A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Minor  personal</w:t>
            </w:r>
            <w:proofErr w:type="gramEnd"/>
            <w:r>
              <w:rPr>
                <w:sz w:val="20"/>
                <w:szCs w:val="20"/>
              </w:rPr>
              <w:t xml:space="preserve"> injuries such as sprained ankles, abrasions, cut fingers etc</w:t>
            </w:r>
          </w:p>
          <w:p w14:paraId="75A2EDD6" w14:textId="77777777" w:rsidR="00985032" w:rsidRPr="005B192A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 xml:space="preserve">Injuries </w:t>
            </w:r>
            <w:r>
              <w:rPr>
                <w:sz w:val="20"/>
                <w:szCs w:val="20"/>
              </w:rPr>
              <w:t>sustained falling off ladder  such as broken limbs.</w:t>
            </w:r>
          </w:p>
          <w:p w14:paraId="068B15AB" w14:textId="77777777" w:rsidR="00985032" w:rsidRPr="006200E0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6200E0">
              <w:rPr>
                <w:sz w:val="20"/>
                <w:szCs w:val="20"/>
              </w:rPr>
              <w:t>Injuries from bodily contact with moving vehicles</w:t>
            </w:r>
          </w:p>
        </w:tc>
        <w:tc>
          <w:tcPr>
            <w:tcW w:w="4320" w:type="dxa"/>
            <w:gridSpan w:val="3"/>
          </w:tcPr>
          <w:p w14:paraId="20CAFC64" w14:textId="77777777" w:rsidR="00985032" w:rsidRPr="00E14CE8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users</w:t>
            </w:r>
          </w:p>
        </w:tc>
      </w:tr>
      <w:tr w:rsidR="00985032" w:rsidRPr="00E14CE8" w14:paraId="0BBD9CDB" w14:textId="77777777" w:rsidTr="005D1ECE">
        <w:tc>
          <w:tcPr>
            <w:tcW w:w="8568" w:type="dxa"/>
            <w:gridSpan w:val="4"/>
          </w:tcPr>
          <w:p w14:paraId="338592A2" w14:textId="77777777" w:rsidR="00985032" w:rsidRDefault="00985032" w:rsidP="005D1ECE">
            <w:pPr>
              <w:tabs>
                <w:tab w:val="left" w:pos="360"/>
              </w:tabs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CONTROL MEASURES:</w:t>
            </w:r>
          </w:p>
          <w:p w14:paraId="26571FAE" w14:textId="16D9BDAD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Ensure area in vicinity o</w:t>
            </w:r>
            <w:r w:rsidR="008D1BF9">
              <w:rPr>
                <w:color w:val="FF0000"/>
                <w:sz w:val="20"/>
                <w:szCs w:val="20"/>
              </w:rPr>
              <w:t>f SPI</w:t>
            </w:r>
            <w:r>
              <w:rPr>
                <w:color w:val="FF0000"/>
                <w:sz w:val="20"/>
                <w:szCs w:val="20"/>
              </w:rPr>
              <w:t>D location is free from debris and is safe for ladder use.</w:t>
            </w:r>
          </w:p>
          <w:p w14:paraId="77670CFB" w14:textId="47B0045A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 equipment including ladders</w:t>
            </w:r>
            <w:r w:rsidR="008D1BF9">
              <w:rPr>
                <w:color w:val="FF0000"/>
                <w:sz w:val="20"/>
                <w:szCs w:val="20"/>
              </w:rPr>
              <w:t xml:space="preserve"> to be checked</w:t>
            </w:r>
            <w:r>
              <w:rPr>
                <w:color w:val="FF0000"/>
                <w:sz w:val="20"/>
                <w:szCs w:val="20"/>
              </w:rPr>
              <w:t xml:space="preserve"> at regular intervals to ensure safely and properly maintained.</w:t>
            </w:r>
            <w:r w:rsidR="00ED4A78">
              <w:rPr>
                <w:color w:val="FF0000"/>
                <w:sz w:val="20"/>
                <w:szCs w:val="20"/>
              </w:rPr>
              <w:t xml:space="preserve"> Only approved ladders (LCC Highways Training manual) to be used.</w:t>
            </w:r>
          </w:p>
          <w:p w14:paraId="4769F0EB" w14:textId="3F228C28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All users to wear the appropriate PPE at all times when using the equipment or moving the unit from location to location.   PPE to include high visibility jacket, </w:t>
            </w:r>
            <w:r w:rsidR="008D1BF9">
              <w:rPr>
                <w:color w:val="FF0000"/>
                <w:sz w:val="20"/>
                <w:szCs w:val="20"/>
              </w:rPr>
              <w:t>sturdy</w:t>
            </w:r>
            <w:r>
              <w:rPr>
                <w:color w:val="FF0000"/>
                <w:sz w:val="20"/>
                <w:szCs w:val="20"/>
              </w:rPr>
              <w:t xml:space="preserve"> footwear, other appropriate clothing to protect body from abrasions etc while on ladder or near hedging etc.</w:t>
            </w:r>
          </w:p>
          <w:p w14:paraId="464C4B66" w14:textId="77777777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Persons replacing batteries or moving equipment to have received training in these activities. (Training carried out by LCC Highways Dept, Summer, 2013)</w:t>
            </w:r>
          </w:p>
          <w:p w14:paraId="77F574B3" w14:textId="77777777" w:rsidR="00985032" w:rsidRDefault="00985032" w:rsidP="005D1ECE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   All equipment, if not in use, to be stored safely.</w:t>
            </w:r>
          </w:p>
          <w:p w14:paraId="1E8ADF68" w14:textId="77777777" w:rsidR="00985032" w:rsidRDefault="00985032" w:rsidP="005D1ECE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 The SPID support poles and plates to be inspected regularly and any defects to be reported to LCC Highways.</w:t>
            </w:r>
          </w:p>
          <w:p w14:paraId="6A8BAECB" w14:textId="12F481F2" w:rsidR="00985032" w:rsidRPr="00754DFF" w:rsidRDefault="00D734D1" w:rsidP="00754DFF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754DFF">
              <w:rPr>
                <w:color w:val="FF0000"/>
                <w:sz w:val="20"/>
                <w:szCs w:val="20"/>
              </w:rPr>
              <w:t>1</w:t>
            </w:r>
            <w:r w:rsidR="00DA536A">
              <w:rPr>
                <w:color w:val="FF0000"/>
                <w:sz w:val="20"/>
                <w:szCs w:val="20"/>
              </w:rPr>
              <w:t>6.9.2</w:t>
            </w:r>
            <w:r w:rsidR="00907C22">
              <w:rPr>
                <w:color w:val="FF0000"/>
                <w:sz w:val="20"/>
                <w:szCs w:val="20"/>
              </w:rPr>
              <w:t>5</w:t>
            </w:r>
          </w:p>
        </w:tc>
      </w:tr>
    </w:tbl>
    <w:p w14:paraId="3ED2E899" w14:textId="2CEC6057" w:rsidR="00A95BA8" w:rsidRDefault="00A95BA8"/>
    <w:p w14:paraId="0338B6C9" w14:textId="3D69F494" w:rsidR="00D36904" w:rsidRDefault="00D36904" w:rsidP="00324150">
      <w:pPr>
        <w:tabs>
          <w:tab w:val="center" w:pos="4513"/>
        </w:tabs>
      </w:pPr>
      <w:r>
        <w:rPr>
          <w:b/>
        </w:rPr>
        <w:t xml:space="preserve">Residual Risk remaining: </w:t>
      </w:r>
      <w:r>
        <w:t>L</w:t>
      </w:r>
      <w:r w:rsidR="00754DFF">
        <w:t>OW</w:t>
      </w:r>
    </w:p>
    <w:p w14:paraId="606CA858" w14:textId="35D4EF6C" w:rsidR="00754DFF" w:rsidRDefault="00754DFF" w:rsidP="00324150">
      <w:pPr>
        <w:tabs>
          <w:tab w:val="center" w:pos="4513"/>
        </w:tabs>
      </w:pPr>
      <w:r>
        <w:lastRenderedPageBreak/>
        <w:t>Reviewed 1</w:t>
      </w:r>
      <w:r w:rsidR="00DA536A">
        <w:t>6.9.24</w:t>
      </w:r>
      <w:r>
        <w:t xml:space="preserve"> Minute </w:t>
      </w:r>
      <w:r w:rsidR="00DA536A">
        <w:t>9</w:t>
      </w:r>
    </w:p>
    <w:sectPr w:rsidR="00754DFF" w:rsidSect="00754DFF">
      <w:footerReference w:type="default" r:id="rId7"/>
      <w:pgSz w:w="11906" w:h="16838"/>
      <w:pgMar w:top="851" w:right="1440" w:bottom="851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5083" w14:textId="77777777" w:rsidR="003944F6" w:rsidRDefault="003944F6" w:rsidP="006B5433">
      <w:pPr>
        <w:spacing w:after="0" w:line="240" w:lineRule="auto"/>
      </w:pPr>
      <w:r>
        <w:separator/>
      </w:r>
    </w:p>
  </w:endnote>
  <w:endnote w:type="continuationSeparator" w:id="0">
    <w:p w14:paraId="44EE739A" w14:textId="77777777" w:rsidR="003944F6" w:rsidRDefault="003944F6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4E2C8225" w:rsidR="006B5433" w:rsidRDefault="006B5433">
    <w:pPr>
      <w:pStyle w:val="Footer"/>
    </w:pPr>
    <w:r>
      <w:t>ABC Parish Co</w:t>
    </w:r>
    <w:r w:rsidR="00D734D1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3714" w14:textId="77777777" w:rsidR="003944F6" w:rsidRDefault="003944F6" w:rsidP="006B5433">
      <w:pPr>
        <w:spacing w:after="0" w:line="240" w:lineRule="auto"/>
      </w:pPr>
      <w:r>
        <w:separator/>
      </w:r>
    </w:p>
  </w:footnote>
  <w:footnote w:type="continuationSeparator" w:id="0">
    <w:p w14:paraId="06DD1351" w14:textId="77777777" w:rsidR="003944F6" w:rsidRDefault="003944F6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748725">
    <w:abstractNumId w:val="2"/>
  </w:num>
  <w:num w:numId="2" w16cid:durableId="274561263">
    <w:abstractNumId w:val="0"/>
  </w:num>
  <w:num w:numId="3" w16cid:durableId="86038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101AD5"/>
    <w:rsid w:val="0015098C"/>
    <w:rsid w:val="00194635"/>
    <w:rsid w:val="001A192E"/>
    <w:rsid w:val="001A411B"/>
    <w:rsid w:val="001A7DF5"/>
    <w:rsid w:val="00324150"/>
    <w:rsid w:val="003944F6"/>
    <w:rsid w:val="004240C7"/>
    <w:rsid w:val="004370DB"/>
    <w:rsid w:val="0066010B"/>
    <w:rsid w:val="006A3099"/>
    <w:rsid w:val="006B5433"/>
    <w:rsid w:val="006C40AB"/>
    <w:rsid w:val="00723A80"/>
    <w:rsid w:val="00754DFF"/>
    <w:rsid w:val="00766698"/>
    <w:rsid w:val="00804588"/>
    <w:rsid w:val="008D1BF9"/>
    <w:rsid w:val="00907C22"/>
    <w:rsid w:val="0095391B"/>
    <w:rsid w:val="00985032"/>
    <w:rsid w:val="009E5E89"/>
    <w:rsid w:val="009E71CC"/>
    <w:rsid w:val="00A95BA8"/>
    <w:rsid w:val="00B519E0"/>
    <w:rsid w:val="00BD7F55"/>
    <w:rsid w:val="00CB2417"/>
    <w:rsid w:val="00D36904"/>
    <w:rsid w:val="00D734D1"/>
    <w:rsid w:val="00DA536A"/>
    <w:rsid w:val="00ED4A78"/>
    <w:rsid w:val="00F030A9"/>
    <w:rsid w:val="00F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6C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2</cp:revision>
  <dcterms:created xsi:type="dcterms:W3CDTF">2026-02-01T15:00:00Z</dcterms:created>
  <dcterms:modified xsi:type="dcterms:W3CDTF">2026-02-01T15:00:00Z</dcterms:modified>
</cp:coreProperties>
</file>